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福建省</w:t>
      </w:r>
      <w:r>
        <w:rPr>
          <w:rFonts w:hint="eastAsia" w:ascii="方正小标宋简体" w:hAnsi="方正小标宋简体" w:eastAsia="方正小标宋简体" w:cs="方正小标宋简体"/>
          <w:sz w:val="44"/>
          <w:szCs w:val="44"/>
          <w:lang w:val="en-US" w:eastAsia="zh-CN"/>
        </w:rPr>
        <w:t>2023年</w:t>
      </w:r>
      <w:r>
        <w:rPr>
          <w:rFonts w:hint="eastAsia" w:ascii="方正小标宋简体" w:hAnsi="方正小标宋简体" w:eastAsia="方正小标宋简体" w:cs="方正小标宋简体"/>
          <w:sz w:val="44"/>
          <w:szCs w:val="44"/>
        </w:rPr>
        <w:t>职业教育在线精品课程</w:t>
      </w:r>
    </w:p>
    <w:p>
      <w:pPr>
        <w:shd w:val="clear" w:color="auto" w:fill="FFFFFF"/>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建设要求</w:t>
      </w:r>
    </w:p>
    <w:p>
      <w:pPr>
        <w:shd w:val="clear" w:color="auto" w:fill="FFFFFF"/>
        <w:spacing w:line="600" w:lineRule="exact"/>
        <w:ind w:firstLine="640" w:firstLineChars="200"/>
        <w:rPr>
          <w:rFonts w:ascii="仿宋_GB2312" w:eastAsia="仿宋_GB2312"/>
        </w:rPr>
      </w:pPr>
    </w:p>
    <w:p>
      <w:pPr>
        <w:shd w:val="clear" w:color="auto" w:fill="FFFFFF"/>
        <w:spacing w:line="600" w:lineRule="exact"/>
        <w:ind w:firstLine="640" w:firstLineChars="200"/>
        <w:rPr>
          <w:rFonts w:ascii="黑体" w:hAnsi="黑体" w:eastAsia="黑体" w:cs="黑体"/>
        </w:rPr>
      </w:pPr>
      <w:r>
        <w:rPr>
          <w:rFonts w:hint="eastAsia" w:ascii="黑体" w:hAnsi="黑体" w:eastAsia="黑体" w:cs="黑体"/>
        </w:rPr>
        <w:t>一、课程范围</w:t>
      </w:r>
    </w:p>
    <w:p>
      <w:pPr>
        <w:shd w:val="clear" w:color="auto" w:fill="FFFFFF"/>
        <w:spacing w:line="600" w:lineRule="exact"/>
        <w:ind w:firstLine="640" w:firstLineChars="200"/>
        <w:rPr>
          <w:rFonts w:ascii="仿宋_GB2312" w:eastAsia="仿宋_GB2312"/>
        </w:rPr>
      </w:pPr>
      <w:r>
        <w:rPr>
          <w:rFonts w:hint="eastAsia" w:ascii="仿宋_GB2312" w:eastAsia="仿宋_GB2312"/>
        </w:rPr>
        <w:t>申报课程应为纳入中职学校、高职学校(含高职本科)相关专业人才培养</w:t>
      </w:r>
      <w:bookmarkStart w:id="1" w:name="_GoBack"/>
      <w:bookmarkEnd w:id="1"/>
      <w:r>
        <w:rPr>
          <w:rFonts w:hint="eastAsia" w:ascii="仿宋_GB2312" w:eastAsia="仿宋_GB2312"/>
        </w:rPr>
        <w:t>方案并在教学中实际开设的课程，包括公共基础课程、专业(技能)课程(含实训实习)，以及其他特色课程。五年制高职前三年课程列归中等职业教育组，五年制高职后二年课程列归高等职业教育组；高职本科课程列归高等职业教育组，但须单独注明。</w:t>
      </w:r>
    </w:p>
    <w:p>
      <w:pPr>
        <w:shd w:val="clear" w:color="auto" w:fill="FFFFFF"/>
        <w:spacing w:line="600" w:lineRule="exact"/>
        <w:ind w:firstLine="640" w:firstLineChars="200"/>
        <w:rPr>
          <w:rFonts w:ascii="黑体" w:hAnsi="黑体" w:eastAsia="黑体" w:cs="黑体"/>
        </w:rPr>
      </w:pPr>
      <w:r>
        <w:rPr>
          <w:rFonts w:hint="eastAsia" w:ascii="黑体" w:hAnsi="黑体" w:eastAsia="黑体" w:cs="黑体"/>
        </w:rPr>
        <w:t>二、课程建设基本要求</w:t>
      </w:r>
    </w:p>
    <w:p>
      <w:pPr>
        <w:shd w:val="clear" w:color="auto" w:fill="FFFFFF"/>
        <w:spacing w:line="60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1. 课程落实立德树人根本任务，定位准确，充分落实相应专业教学标准和公共基础课程标准要求。课程教学目标清晰，可评可测；教学内容完整，结构合理，符合政治性、科学性、先进性、适用性、规范性要求，有机融入课程思政要求，体现职教特色，公共基础课程内容及时反映新知识，专业课及时融入新技术、新工艺、新规范。课程设计科学，学习单元和学时划分合理，线上线下教学活动衔接逻辑有序。鼓励与行业企业等合作开展课程建设与实施。</w:t>
      </w:r>
    </w:p>
    <w:p>
      <w:pPr>
        <w:shd w:val="clear" w:color="auto" w:fill="FFFFFF"/>
        <w:spacing w:line="60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2. 课程资源以自主设计与开发为主，与课程内容相适配、全覆盖，能满足教学目标达成和教学所需。课程总学时不低于32学时，至少在课程平台上完成两（学）期的在线教学或线上线下混合式教学实践，在同类课程中教学效果良好；课程资源类型丰富，质量精良，上线的动画、视频、虚拟仿真等类型资源一般不少于25%，无版权、肖像权等争议；出镜教师教学基本功扎实，讲解深入浅出，注重教学互动，能激发学生学习积极性。课程教材选用符合国家规定，优先选用国家和省级规划教材。有省级课程或教学项目建设基础的课程优先推荐认定。</w:t>
      </w:r>
    </w:p>
    <w:p>
      <w:pPr>
        <w:shd w:val="clear" w:color="auto" w:fill="FFFFFF"/>
        <w:spacing w:line="600" w:lineRule="exact"/>
        <w:ind w:firstLine="640" w:firstLineChars="200"/>
        <w:rPr>
          <w:rFonts w:hint="eastAsia" w:ascii="仿宋_GB2312" w:hAnsi="仿宋_GB2312" w:eastAsia="仿宋_GB2312" w:cs="仿宋_GB2312"/>
          <w:lang w:eastAsia="zh-CN"/>
        </w:rPr>
      </w:pPr>
      <w:r>
        <w:rPr>
          <w:rFonts w:hint="eastAsia" w:ascii="仿宋_GB2312" w:hAnsi="仿宋_GB2312" w:eastAsia="仿宋_GB2312" w:cs="仿宋_GB2312"/>
          <w:lang w:eastAsia="zh-CN"/>
        </w:rPr>
        <w:t>3.教学团队基础好，师德师风优、教学能力强、数字素养高，结构合理，能够提供稳定的课程教学服务；课程负责人原则上应具有</w:t>
      </w:r>
      <w:r>
        <w:rPr>
          <w:rFonts w:hint="eastAsia" w:ascii="仿宋_GB2312" w:hAnsi="仿宋_GB2312" w:eastAsia="仿宋_GB2312" w:cs="仿宋_GB2312"/>
          <w:lang w:val="en-US" w:eastAsia="zh-CN"/>
        </w:rPr>
        <w:t>中</w:t>
      </w:r>
      <w:r>
        <w:rPr>
          <w:rFonts w:hint="eastAsia" w:ascii="仿宋_GB2312" w:hAnsi="仿宋_GB2312" w:eastAsia="仿宋_GB2312" w:cs="仿宋_GB2312"/>
          <w:lang w:eastAsia="zh-CN"/>
        </w:rPr>
        <w:t>级及以上职称，具有丰富的教学经验和扎实专业功底；团队成员分工明确，承担了本课程的线下或线下的具体建设任务，能保障线上线下各项教学活动正常有序运行。鼓励国家级、省级教学成果奖主要完成人、职业院校技能大赛教学能力比赛获奖者、国家职业教育教师教学创新团队带头人、全国教材建设奖优秀教材（职业教育类）获得者等牵头申报。</w:t>
      </w:r>
    </w:p>
    <w:p>
      <w:pPr>
        <w:shd w:val="clear" w:color="auto" w:fill="FFFFFF"/>
        <w:spacing w:line="600" w:lineRule="exact"/>
        <w:ind w:firstLine="640" w:firstLineChars="200"/>
        <w:rPr>
          <w:rFonts w:ascii="仿宋_GB2312" w:eastAsia="仿宋_GB2312"/>
        </w:rPr>
      </w:pPr>
      <w:r>
        <w:rPr>
          <w:rFonts w:ascii="仿宋_GB2312" w:eastAsia="仿宋_GB2312"/>
        </w:rPr>
        <w:t>4</w:t>
      </w:r>
      <w:r>
        <w:rPr>
          <w:rFonts w:hint="eastAsia" w:ascii="仿宋_GB2312" w:eastAsia="仿宋_GB2312"/>
        </w:rPr>
        <w:t>.体现教师教材教法改革成果，合理使用信息手段创新教学模式，发挥在线学习和混合式教学优势，促进师生教学交互活动有效发生，激发学生学习兴趣和潜能。提供在线测试、作业、考试、答疑、讨论等功能并有效实施，能有效防范刷课、替课、刷考、替考行为；各项教学活动完整、有效，教学过程可回溯，学生受益面广、参与度高、获得感强，教学模式具有示范推广价值；</w:t>
      </w:r>
    </w:p>
    <w:p>
      <w:pPr>
        <w:shd w:val="clear" w:color="auto" w:fill="FFFFFF"/>
        <w:spacing w:line="600" w:lineRule="exact"/>
        <w:ind w:firstLine="640" w:firstLineChars="200"/>
        <w:rPr>
          <w:rFonts w:ascii="仿宋_GB2312" w:eastAsia="仿宋_GB2312"/>
        </w:rPr>
      </w:pPr>
      <w:r>
        <w:rPr>
          <w:rFonts w:ascii="仿宋_GB2312" w:eastAsia="仿宋_GB2312"/>
        </w:rPr>
        <w:t>5</w:t>
      </w:r>
      <w:r>
        <w:rPr>
          <w:rFonts w:hint="eastAsia" w:ascii="仿宋_GB2312" w:eastAsia="仿宋_GB2312"/>
        </w:rPr>
        <w:t>.全面落实教育评价改革要求，</w:t>
      </w:r>
      <w:r>
        <w:rPr>
          <w:rFonts w:hint="eastAsia" w:eastAsia="仿宋_GB2312"/>
        </w:rPr>
        <w:t>建立多元化学习评价体系，探索基于大数据的信息采集分析，强化过程评价，探索增值评价，改进结果评价，健全综合评价。</w:t>
      </w:r>
      <w:r>
        <w:rPr>
          <w:rFonts w:hint="eastAsia" w:ascii="仿宋_GB2312" w:eastAsia="仿宋_GB2312"/>
        </w:rPr>
        <w:t>课程教学管理制度完备，教学全过程管理严格有序，教学支持保障条件良好；持续开展课程建设反思，教学诊断改进积极有效；未发生过较大教学事故。</w:t>
      </w:r>
    </w:p>
    <w:p>
      <w:pPr>
        <w:shd w:val="clear" w:color="auto" w:fill="FFFFFF"/>
        <w:spacing w:line="600" w:lineRule="exact"/>
        <w:ind w:firstLine="640" w:firstLineChars="200"/>
        <w:rPr>
          <w:rFonts w:ascii="仿宋_GB2312" w:eastAsia="仿宋_GB2312"/>
        </w:rPr>
      </w:pPr>
      <w:r>
        <w:rPr>
          <w:rFonts w:ascii="仿宋_GB2312" w:eastAsia="仿宋_GB2312"/>
        </w:rPr>
        <w:t>6</w:t>
      </w:r>
      <w:r>
        <w:rPr>
          <w:rFonts w:hint="eastAsia" w:ascii="仿宋_GB2312" w:eastAsia="仿宋_GB2312"/>
        </w:rPr>
        <w:t>.课程平台资质良好、运行可靠、符合网络信息安全要求，可面向校内外师生、社会公众开放注册学习，可按要求接入国家职业教育智慧教育平台；课程有特色有创新并可持续改进。</w:t>
      </w:r>
    </w:p>
    <w:p>
      <w:pPr>
        <w:shd w:val="clear" w:color="auto" w:fill="FFFFFF"/>
        <w:spacing w:line="600" w:lineRule="exact"/>
        <w:ind w:firstLine="640" w:firstLineChars="200"/>
        <w:rPr>
          <w:rFonts w:hint="eastAsia" w:ascii="仿宋_GB2312" w:eastAsia="仿宋_GB2312"/>
        </w:rPr>
      </w:pPr>
      <w:r>
        <w:rPr>
          <w:rFonts w:hint="eastAsia" w:ascii="仿宋_GB2312" w:eastAsia="仿宋_GB2312"/>
        </w:rPr>
        <w:t>7.充分彰显职业教育类型特征，体现专业升级和数字化改造要求，能够较好解决职业教育传统教学中的短板问题；课程与教学改革理念具有原创性、教学实践效果显著，具有较好的教改模式示范效应和推广价值。</w:t>
      </w:r>
    </w:p>
    <w:p>
      <w:pPr>
        <w:shd w:val="clear" w:color="auto" w:fill="FFFFFF"/>
        <w:spacing w:line="600" w:lineRule="exact"/>
        <w:ind w:firstLine="640" w:firstLineChars="200"/>
        <w:rPr>
          <w:rFonts w:ascii="黑体" w:hAnsi="黑体" w:eastAsia="黑体"/>
        </w:rPr>
      </w:pPr>
      <w:r>
        <w:rPr>
          <w:rFonts w:hint="eastAsia" w:ascii="黑体" w:hAnsi="黑体" w:eastAsia="黑体" w:cs="黑体"/>
        </w:rPr>
        <w:t>三、建设组织与管</w:t>
      </w:r>
      <w:r>
        <w:rPr>
          <w:rFonts w:hint="eastAsia" w:ascii="黑体" w:hAnsi="黑体" w:eastAsia="黑体"/>
        </w:rPr>
        <w:t>理</w:t>
      </w:r>
    </w:p>
    <w:p>
      <w:pPr>
        <w:shd w:val="clear" w:color="auto" w:fill="FFFFFF"/>
        <w:spacing w:line="600" w:lineRule="exact"/>
        <w:ind w:firstLine="640" w:firstLineChars="200"/>
        <w:rPr>
          <w:rFonts w:hint="eastAsia" w:ascii="仿宋_GB2312" w:eastAsia="仿宋_GB2312"/>
          <w:lang w:eastAsia="zh-CN"/>
        </w:rPr>
      </w:pPr>
      <w:r>
        <w:rPr>
          <w:rFonts w:hint="eastAsia" w:ascii="仿宋_GB2312" w:eastAsia="仿宋_GB2312"/>
          <w:lang w:eastAsia="zh-CN"/>
        </w:rPr>
        <w:t xml:space="preserve">1.省教育厅负责制定省职业教育在线精品课程的建设计划、认定和评价标准，分批组织实施课程的申报和认定。 </w:t>
      </w:r>
    </w:p>
    <w:p>
      <w:pPr>
        <w:shd w:val="clear" w:color="auto" w:fill="FFFFFF"/>
        <w:spacing w:line="600" w:lineRule="exact"/>
        <w:ind w:firstLine="640" w:firstLineChars="200"/>
        <w:rPr>
          <w:rFonts w:hint="eastAsia" w:ascii="仿宋_GB2312" w:eastAsia="仿宋_GB2312"/>
          <w:lang w:eastAsia="zh-CN"/>
        </w:rPr>
      </w:pPr>
      <w:r>
        <w:rPr>
          <w:rFonts w:hint="eastAsia" w:ascii="仿宋_GB2312" w:eastAsia="仿宋_GB2312"/>
          <w:lang w:eastAsia="zh-CN"/>
        </w:rPr>
        <w:t>2.各职业院校是省职业教育在线</w:t>
      </w:r>
      <w:bookmarkStart w:id="0" w:name="_Hlk110578475"/>
      <w:r>
        <w:rPr>
          <w:rFonts w:hint="eastAsia" w:ascii="仿宋_GB2312" w:eastAsia="仿宋_GB2312"/>
          <w:lang w:eastAsia="zh-CN"/>
        </w:rPr>
        <w:t>精品课程</w:t>
      </w:r>
      <w:bookmarkEnd w:id="0"/>
      <w:r>
        <w:rPr>
          <w:rFonts w:hint="eastAsia" w:ascii="仿宋_GB2312" w:eastAsia="仿宋_GB2312"/>
          <w:lang w:eastAsia="zh-CN"/>
        </w:rPr>
        <w:t>建设的主体，应按照相关建设要求，统筹规划、组织实施校级在线精品课程建设，负责课程内容的审查，择优推荐课程申报国家级、省级职业教育在线精品课程认定。要认真落实</w:t>
      </w:r>
      <w:r>
        <w:rPr>
          <w:rFonts w:hint="eastAsia" w:ascii="仿宋_GB2312" w:eastAsia="仿宋_GB2312"/>
          <w:lang w:val="en-US" w:eastAsia="zh-CN"/>
        </w:rPr>
        <w:t>相关</w:t>
      </w:r>
      <w:r>
        <w:rPr>
          <w:rFonts w:hint="eastAsia" w:ascii="仿宋_GB2312" w:eastAsia="仿宋_GB2312"/>
          <w:lang w:eastAsia="zh-CN"/>
        </w:rPr>
        <w:t>规定，建立健全课程建设与管理制度，规范教师教学行为，严格学生在线学习行为要求和考试纪律，完善课程监督机制，做到线上与线下课程同管理、同要求。</w:t>
      </w:r>
    </w:p>
    <w:p>
      <w:pPr>
        <w:shd w:val="clear" w:color="auto" w:fill="FFFFFF"/>
        <w:spacing w:line="600" w:lineRule="exact"/>
        <w:ind w:firstLine="640" w:firstLineChars="200"/>
        <w:rPr>
          <w:rFonts w:hint="eastAsia" w:ascii="仿宋_GB2312" w:eastAsia="仿宋_GB2312"/>
          <w:lang w:eastAsia="zh-CN"/>
        </w:rPr>
      </w:pPr>
      <w:r>
        <w:rPr>
          <w:rFonts w:hint="eastAsia" w:ascii="仿宋_GB2312" w:eastAsia="仿宋_GB2312"/>
          <w:lang w:eastAsia="zh-CN"/>
        </w:rPr>
        <w:t>3.课程负责人及团队是课程建设的直接责任人，教学资源应保持每年不低于资源总量10%的动态更新量，并提供认定后不少于5年的在线教学服务。坚持“先建设后认定，建以致用”，积极推动在线课程资源的常态化使用，深入推进信息技术与课程教学的深度融合，创新教学手段和教学方法，开展线上线下混合式教学创新，提高学生学习实效；积极推动校际协同共建、课程共享和学分互认，提高优质资源的共享效能和溢出效应。</w:t>
      </w:r>
    </w:p>
    <w:p>
      <w:pPr>
        <w:shd w:val="clear" w:color="auto" w:fill="FFFFFF"/>
        <w:spacing w:line="600" w:lineRule="exact"/>
        <w:ind w:firstLine="640" w:firstLineChars="200"/>
        <w:rPr>
          <w:rFonts w:hint="eastAsia" w:ascii="仿宋_GB2312" w:eastAsia="仿宋_GB2312"/>
          <w:lang w:eastAsia="zh-CN"/>
        </w:rPr>
      </w:pPr>
      <w:r>
        <w:rPr>
          <w:rFonts w:hint="eastAsia" w:ascii="仿宋_GB2312" w:eastAsia="仿宋_GB2312"/>
          <w:lang w:eastAsia="zh-CN"/>
        </w:rPr>
        <w:t>4. 省职业教育在线精品课程所依托的平台必须严格遵守教育部、省教育厅等有关部门要求，积极配合省教育厅的监管需求，提供课程相关运行数据，按要求接入福建职业教育智慧教育平台和国家职业教育智慧教育平台。</w:t>
      </w:r>
    </w:p>
    <w:p>
      <w:pPr>
        <w:shd w:val="clear" w:color="auto" w:fill="FFFFFF"/>
        <w:spacing w:line="600" w:lineRule="exact"/>
        <w:ind w:firstLine="640" w:firstLineChars="200"/>
        <w:rPr>
          <w:rFonts w:hint="eastAsia" w:ascii="仿宋_GB2312" w:eastAsia="仿宋_GB2312"/>
          <w:lang w:eastAsia="zh-CN"/>
        </w:rPr>
      </w:pPr>
      <w:r>
        <w:rPr>
          <w:rFonts w:hint="eastAsia" w:ascii="仿宋_GB2312" w:eastAsia="仿宋_GB2312"/>
          <w:lang w:eastAsia="zh-CN"/>
        </w:rPr>
        <w:t>5.省教育厅对省职业教育在线精品课程的教学运行实施持续监测和综合评价，指导各校做好课程的持续建设和不断改进。对于出现严重质量问题、课程团队成员出现师德师风等问题的课程，将按规定追责问责；对于未按要求持续提供教学服务、综合评价不合格的课程，取消课程的“福建省职业教育在线精品课程”称号，并进行通报。</w:t>
      </w:r>
    </w:p>
    <w:p>
      <w:pPr>
        <w:pStyle w:val="2"/>
      </w:pPr>
    </w:p>
    <w:p>
      <w:pPr>
        <w:rPr>
          <w:rFonts w:hint="eastAsia"/>
        </w:rPr>
      </w:pPr>
      <w:r>
        <w:rPr>
          <w:rFonts w:hint="eastAsia"/>
        </w:rPr>
        <w:br w:type="page"/>
      </w:r>
    </w:p>
    <w:p>
      <w:pPr>
        <w:widowControl/>
        <w:spacing w:line="600" w:lineRule="exact"/>
        <w:jc w:val="center"/>
        <w:rPr>
          <w:rFonts w:hint="eastAsia" w:ascii="方正小标宋简体" w:hAnsi="宋体" w:eastAsia="方正小标宋简体" w:cs="Times New Roman"/>
          <w:sz w:val="36"/>
          <w:szCs w:val="36"/>
        </w:rPr>
      </w:pPr>
      <w:r>
        <w:rPr>
          <w:rFonts w:hint="eastAsia" w:ascii="方正小标宋简体" w:hAnsi="宋体" w:eastAsia="方正小标宋简体"/>
          <w:sz w:val="36"/>
          <w:szCs w:val="36"/>
        </w:rPr>
        <w:t>202</w:t>
      </w:r>
      <w:r>
        <w:rPr>
          <w:rFonts w:ascii="方正小标宋简体" w:hAnsi="宋体" w:eastAsia="方正小标宋简体"/>
          <w:sz w:val="36"/>
          <w:szCs w:val="36"/>
        </w:rPr>
        <w:t>3</w:t>
      </w:r>
      <w:r>
        <w:rPr>
          <w:rFonts w:hint="eastAsia" w:ascii="方正小标宋简体" w:hAnsi="宋体" w:eastAsia="方正小标宋简体"/>
          <w:sz w:val="36"/>
          <w:szCs w:val="36"/>
        </w:rPr>
        <w:t>年职业教育在线精</w:t>
      </w:r>
      <w:r>
        <w:rPr>
          <w:rFonts w:hint="eastAsia" w:ascii="方正小标宋简体" w:hAnsi="宋体" w:eastAsia="方正小标宋简体" w:cs="Times New Roman"/>
          <w:sz w:val="36"/>
          <w:szCs w:val="36"/>
        </w:rPr>
        <w:t>品课程认定指标</w:t>
      </w:r>
    </w:p>
    <w:p>
      <w:pPr>
        <w:spacing w:line="520" w:lineRule="exact"/>
        <w:ind w:right="26"/>
        <w:jc w:val="center"/>
        <w:rPr>
          <w:rFonts w:eastAsia="黑体"/>
          <w:kern w:val="0"/>
          <w:sz w:val="28"/>
          <w:szCs w:val="28"/>
        </w:rPr>
      </w:pPr>
      <w:r>
        <w:rPr>
          <w:rFonts w:eastAsia="黑体"/>
          <w:kern w:val="0"/>
          <w:sz w:val="28"/>
          <w:szCs w:val="28"/>
        </w:rPr>
        <w:t>（一）否定性指标</w:t>
      </w:r>
    </w:p>
    <w:tbl>
      <w:tblPr>
        <w:tblStyle w:val="7"/>
        <w:tblW w:w="8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423"/>
        <w:gridCol w:w="3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123" w:type="dxa"/>
            <w:noWrap w:val="0"/>
            <w:vAlign w:val="center"/>
          </w:tcPr>
          <w:p>
            <w:pPr>
              <w:widowControl/>
              <w:jc w:val="center"/>
              <w:rPr>
                <w:rFonts w:eastAsia="黑体"/>
                <w:kern w:val="0"/>
                <w:sz w:val="24"/>
                <w:szCs w:val="24"/>
              </w:rPr>
            </w:pPr>
            <w:r>
              <w:rPr>
                <w:rFonts w:eastAsia="黑体"/>
                <w:kern w:val="0"/>
                <w:sz w:val="24"/>
                <w:szCs w:val="24"/>
              </w:rPr>
              <w:t>维度</w:t>
            </w:r>
          </w:p>
        </w:tc>
        <w:tc>
          <w:tcPr>
            <w:tcW w:w="3423" w:type="dxa"/>
            <w:noWrap w:val="0"/>
            <w:vAlign w:val="center"/>
          </w:tcPr>
          <w:p>
            <w:pPr>
              <w:widowControl/>
              <w:jc w:val="center"/>
              <w:rPr>
                <w:rFonts w:eastAsia="黑体"/>
                <w:kern w:val="0"/>
                <w:sz w:val="24"/>
                <w:szCs w:val="24"/>
              </w:rPr>
            </w:pPr>
            <w:r>
              <w:rPr>
                <w:rFonts w:eastAsia="黑体"/>
                <w:kern w:val="0"/>
                <w:sz w:val="24"/>
                <w:szCs w:val="24"/>
              </w:rPr>
              <w:t>具体指标</w:t>
            </w:r>
          </w:p>
        </w:tc>
        <w:tc>
          <w:tcPr>
            <w:tcW w:w="3893" w:type="dxa"/>
            <w:noWrap w:val="0"/>
            <w:vAlign w:val="center"/>
          </w:tcPr>
          <w:p>
            <w:pPr>
              <w:widowControl/>
              <w:jc w:val="center"/>
              <w:rPr>
                <w:rFonts w:eastAsia="黑体"/>
                <w:kern w:val="0"/>
                <w:sz w:val="24"/>
                <w:szCs w:val="24"/>
              </w:rPr>
            </w:pPr>
            <w:r>
              <w:rPr>
                <w:rFonts w:eastAsia="黑体"/>
                <w:kern w:val="0"/>
                <w:sz w:val="24"/>
                <w:szCs w:val="24"/>
              </w:rPr>
              <w:t>观测点及方式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23" w:type="dxa"/>
            <w:vMerge w:val="restart"/>
            <w:noWrap w:val="0"/>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课程资格</w:t>
            </w:r>
          </w:p>
        </w:tc>
        <w:tc>
          <w:tcPr>
            <w:tcW w:w="3423" w:type="dxa"/>
            <w:noWrap w:val="0"/>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课程与推荐申报类型不符</w:t>
            </w:r>
          </w:p>
        </w:tc>
        <w:tc>
          <w:tcPr>
            <w:tcW w:w="3893" w:type="dxa"/>
            <w:noWrap w:val="0"/>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查看教务系统截图，核实是否是专业人才培养方案的在线课程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23" w:type="dxa"/>
            <w:vMerge w:val="continue"/>
            <w:noWrap w:val="0"/>
            <w:vAlign w:val="center"/>
          </w:tcPr>
          <w:p>
            <w:pPr>
              <w:widowControl/>
              <w:jc w:val="center"/>
              <w:rPr>
                <w:rFonts w:hint="eastAsia" w:ascii="仿宋_GB2312" w:hAnsi="仿宋_GB2312" w:eastAsia="仿宋_GB2312" w:cs="仿宋_GB2312"/>
                <w:kern w:val="0"/>
                <w:sz w:val="24"/>
                <w:szCs w:val="24"/>
              </w:rPr>
            </w:pPr>
          </w:p>
        </w:tc>
        <w:tc>
          <w:tcPr>
            <w:tcW w:w="3423" w:type="dxa"/>
            <w:noWrap w:val="0"/>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开设时间或期数不符合申报要求</w:t>
            </w:r>
          </w:p>
        </w:tc>
        <w:tc>
          <w:tcPr>
            <w:tcW w:w="3893" w:type="dxa"/>
            <w:noWrap w:val="0"/>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查看课程平台运行情况，核实申报截止日期前是否完成至少两（学）期教学实践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23" w:type="dxa"/>
            <w:vMerge w:val="continue"/>
            <w:noWrap w:val="0"/>
            <w:vAlign w:val="center"/>
          </w:tcPr>
          <w:p>
            <w:pPr>
              <w:widowControl/>
              <w:jc w:val="center"/>
              <w:rPr>
                <w:rFonts w:hint="eastAsia" w:ascii="仿宋_GB2312" w:hAnsi="仿宋_GB2312" w:eastAsia="仿宋_GB2312" w:cs="仿宋_GB2312"/>
                <w:kern w:val="0"/>
                <w:sz w:val="24"/>
                <w:szCs w:val="24"/>
              </w:rPr>
            </w:pPr>
          </w:p>
        </w:tc>
        <w:tc>
          <w:tcPr>
            <w:tcW w:w="3423" w:type="dxa"/>
            <w:noWrap w:val="0"/>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教材选用不合规</w:t>
            </w:r>
          </w:p>
        </w:tc>
        <w:tc>
          <w:tcPr>
            <w:tcW w:w="3893" w:type="dxa"/>
            <w:noWrap w:val="0"/>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查看提交的材料，核实选用教材是否符合《职业院校教材管理办法》等有关要求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23" w:type="dxa"/>
            <w:vMerge w:val="continue"/>
            <w:noWrap w:val="0"/>
            <w:vAlign w:val="center"/>
          </w:tcPr>
          <w:p>
            <w:pPr>
              <w:widowControl/>
              <w:jc w:val="center"/>
              <w:rPr>
                <w:rFonts w:hint="eastAsia" w:ascii="仿宋_GB2312" w:hAnsi="仿宋_GB2312" w:eastAsia="仿宋_GB2312" w:cs="仿宋_GB2312"/>
                <w:kern w:val="0"/>
                <w:sz w:val="24"/>
                <w:szCs w:val="24"/>
              </w:rPr>
            </w:pPr>
          </w:p>
        </w:tc>
        <w:tc>
          <w:tcPr>
            <w:tcW w:w="3423" w:type="dxa"/>
            <w:noWrap w:val="0"/>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课程基本信息明显不一致</w:t>
            </w:r>
          </w:p>
        </w:tc>
        <w:tc>
          <w:tcPr>
            <w:tcW w:w="3893" w:type="dxa"/>
            <w:noWrap w:val="0"/>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查看教务系统截图，重点比对课程名称、授课教师、学时等有关说明材料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23" w:type="dxa"/>
            <w:vMerge w:val="continue"/>
            <w:noWrap w:val="0"/>
            <w:vAlign w:val="center"/>
          </w:tcPr>
          <w:p>
            <w:pPr>
              <w:widowControl/>
              <w:jc w:val="center"/>
              <w:rPr>
                <w:rFonts w:hint="eastAsia" w:ascii="仿宋_GB2312" w:hAnsi="仿宋_GB2312" w:eastAsia="仿宋_GB2312" w:cs="仿宋_GB2312"/>
                <w:kern w:val="0"/>
                <w:sz w:val="24"/>
                <w:szCs w:val="24"/>
              </w:rPr>
            </w:pPr>
          </w:p>
        </w:tc>
        <w:tc>
          <w:tcPr>
            <w:tcW w:w="3423" w:type="dxa"/>
            <w:noWrap w:val="0"/>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课程线上教学资源无法打开</w:t>
            </w:r>
          </w:p>
        </w:tc>
        <w:tc>
          <w:tcPr>
            <w:tcW w:w="3893" w:type="dxa"/>
            <w:noWrap w:val="0"/>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查看“提供的课程访问网址”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23" w:type="dxa"/>
            <w:vMerge w:val="continue"/>
            <w:noWrap w:val="0"/>
            <w:vAlign w:val="center"/>
          </w:tcPr>
          <w:p>
            <w:pPr>
              <w:widowControl/>
              <w:jc w:val="center"/>
              <w:rPr>
                <w:rFonts w:hint="eastAsia" w:ascii="仿宋_GB2312" w:hAnsi="仿宋_GB2312" w:eastAsia="仿宋_GB2312" w:cs="仿宋_GB2312"/>
                <w:kern w:val="0"/>
                <w:sz w:val="24"/>
                <w:szCs w:val="24"/>
              </w:rPr>
            </w:pPr>
          </w:p>
        </w:tc>
        <w:tc>
          <w:tcPr>
            <w:tcW w:w="3423" w:type="dxa"/>
            <w:noWrap w:val="0"/>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课程内容存在政治性、思想性问题，以及科学性问题</w:t>
            </w:r>
          </w:p>
        </w:tc>
        <w:tc>
          <w:tcPr>
            <w:tcW w:w="3893" w:type="dxa"/>
            <w:noWrap w:val="0"/>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查看提交的资料，核实是否存在重要意识形态问题或科学性问题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23" w:type="dxa"/>
            <w:noWrap w:val="0"/>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教师资格</w:t>
            </w:r>
          </w:p>
        </w:tc>
        <w:tc>
          <w:tcPr>
            <w:tcW w:w="3423" w:type="dxa"/>
            <w:noWrap w:val="0"/>
            <w:vAlign w:val="center"/>
          </w:tcPr>
          <w:p>
            <w:pPr>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团队成员存在师德师风方面问题</w:t>
            </w:r>
          </w:p>
        </w:tc>
        <w:tc>
          <w:tcPr>
            <w:tcW w:w="3893" w:type="dxa"/>
            <w:noWrap w:val="0"/>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查看“团队成员政治审查意见”，以及提交的资料，或者举报属实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23" w:type="dxa"/>
            <w:vMerge w:val="restart"/>
            <w:noWrap w:val="0"/>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申报材料</w:t>
            </w:r>
          </w:p>
        </w:tc>
        <w:tc>
          <w:tcPr>
            <w:tcW w:w="3423" w:type="dxa"/>
            <w:noWrap w:val="0"/>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申报材料造假</w:t>
            </w:r>
          </w:p>
        </w:tc>
        <w:tc>
          <w:tcPr>
            <w:tcW w:w="3893" w:type="dxa"/>
            <w:noWrap w:val="0"/>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查看提交的材料，或举报属实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23" w:type="dxa"/>
            <w:vMerge w:val="continue"/>
            <w:noWrap w:val="0"/>
            <w:vAlign w:val="center"/>
          </w:tcPr>
          <w:p>
            <w:pPr>
              <w:widowControl/>
              <w:jc w:val="center"/>
              <w:rPr>
                <w:rFonts w:hint="eastAsia" w:ascii="仿宋_GB2312" w:hAnsi="仿宋_GB2312" w:eastAsia="仿宋_GB2312" w:cs="仿宋_GB2312"/>
                <w:kern w:val="0"/>
                <w:sz w:val="24"/>
                <w:szCs w:val="24"/>
              </w:rPr>
            </w:pPr>
          </w:p>
        </w:tc>
        <w:tc>
          <w:tcPr>
            <w:tcW w:w="3423" w:type="dxa"/>
            <w:noWrap w:val="0"/>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发现且确认有侵权现象</w:t>
            </w:r>
          </w:p>
        </w:tc>
        <w:tc>
          <w:tcPr>
            <w:tcW w:w="3893" w:type="dxa"/>
            <w:noWrap w:val="0"/>
            <w:vAlign w:val="center"/>
          </w:tcPr>
          <w:p>
            <w:pPr>
              <w:widowControl/>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查看提交的材料，或举报属实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23" w:type="dxa"/>
            <w:noWrap w:val="0"/>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平台资格</w:t>
            </w:r>
          </w:p>
        </w:tc>
        <w:tc>
          <w:tcPr>
            <w:tcW w:w="3423" w:type="dxa"/>
            <w:noWrap w:val="0"/>
            <w:vAlign w:val="top"/>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无工信部ICP网站备案、无公安机关网站备案号、无信息安全等级保护证书</w:t>
            </w:r>
          </w:p>
        </w:tc>
        <w:tc>
          <w:tcPr>
            <w:tcW w:w="3893" w:type="dxa"/>
            <w:noWrap w:val="0"/>
            <w:vAlign w:val="top"/>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查看提交的材料，或举报属实</w:t>
            </w:r>
          </w:p>
        </w:tc>
      </w:tr>
    </w:tbl>
    <w:p>
      <w:pPr>
        <w:spacing w:line="520" w:lineRule="exact"/>
        <w:ind w:right="26"/>
        <w:jc w:val="center"/>
        <w:rPr>
          <w:rFonts w:eastAsia="黑体"/>
          <w:kern w:val="0"/>
          <w:sz w:val="28"/>
          <w:szCs w:val="28"/>
        </w:rPr>
      </w:pPr>
    </w:p>
    <w:p>
      <w:pPr>
        <w:spacing w:line="520" w:lineRule="exact"/>
        <w:ind w:right="26"/>
        <w:jc w:val="center"/>
        <w:rPr>
          <w:rFonts w:eastAsia="黑体"/>
          <w:kern w:val="0"/>
          <w:sz w:val="28"/>
          <w:szCs w:val="28"/>
        </w:rPr>
      </w:pPr>
    </w:p>
    <w:p>
      <w:pPr>
        <w:spacing w:line="520" w:lineRule="exact"/>
        <w:ind w:right="26"/>
        <w:jc w:val="center"/>
        <w:rPr>
          <w:rFonts w:eastAsia="黑体"/>
          <w:kern w:val="0"/>
          <w:sz w:val="28"/>
          <w:szCs w:val="28"/>
        </w:rPr>
      </w:pPr>
    </w:p>
    <w:p>
      <w:pPr>
        <w:spacing w:line="520" w:lineRule="exact"/>
        <w:ind w:right="26"/>
        <w:jc w:val="center"/>
        <w:rPr>
          <w:rFonts w:eastAsia="黑体"/>
          <w:kern w:val="0"/>
          <w:sz w:val="28"/>
          <w:szCs w:val="28"/>
        </w:rPr>
      </w:pPr>
    </w:p>
    <w:p>
      <w:pPr>
        <w:rPr>
          <w:rFonts w:eastAsia="黑体"/>
          <w:kern w:val="0"/>
          <w:sz w:val="28"/>
          <w:szCs w:val="28"/>
        </w:rPr>
      </w:pPr>
      <w:r>
        <w:rPr>
          <w:rFonts w:eastAsia="黑体"/>
          <w:kern w:val="0"/>
          <w:sz w:val="28"/>
          <w:szCs w:val="28"/>
        </w:rPr>
        <w:br w:type="page"/>
      </w:r>
    </w:p>
    <w:p>
      <w:pPr>
        <w:spacing w:line="520" w:lineRule="exact"/>
        <w:ind w:right="26"/>
        <w:jc w:val="center"/>
        <w:rPr>
          <w:rFonts w:eastAsia="黑体"/>
          <w:kern w:val="0"/>
          <w:sz w:val="28"/>
          <w:szCs w:val="28"/>
        </w:rPr>
      </w:pPr>
      <w:r>
        <w:rPr>
          <w:rFonts w:eastAsia="黑体"/>
          <w:kern w:val="0"/>
          <w:sz w:val="28"/>
          <w:szCs w:val="28"/>
        </w:rPr>
        <w:t>（二）评议性指标</w:t>
      </w:r>
    </w:p>
    <w:tbl>
      <w:tblPr>
        <w:tblStyle w:val="7"/>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1210"/>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280" w:type="dxa"/>
            <w:noWrap w:val="0"/>
            <w:vAlign w:val="center"/>
          </w:tcPr>
          <w:p>
            <w:pPr>
              <w:widowControl/>
              <w:jc w:val="center"/>
              <w:rPr>
                <w:rFonts w:eastAsia="黑体"/>
                <w:kern w:val="0"/>
                <w:sz w:val="24"/>
                <w:szCs w:val="24"/>
              </w:rPr>
            </w:pPr>
            <w:r>
              <w:rPr>
                <w:rFonts w:eastAsia="黑体"/>
                <w:kern w:val="0"/>
                <w:sz w:val="24"/>
                <w:szCs w:val="24"/>
              </w:rPr>
              <w:t>一级指标</w:t>
            </w:r>
          </w:p>
        </w:tc>
        <w:tc>
          <w:tcPr>
            <w:tcW w:w="1210" w:type="dxa"/>
            <w:noWrap w:val="0"/>
            <w:vAlign w:val="center"/>
          </w:tcPr>
          <w:p>
            <w:pPr>
              <w:widowControl/>
              <w:jc w:val="center"/>
              <w:rPr>
                <w:rFonts w:eastAsia="黑体"/>
                <w:kern w:val="0"/>
                <w:sz w:val="24"/>
                <w:szCs w:val="24"/>
              </w:rPr>
            </w:pPr>
            <w:r>
              <w:rPr>
                <w:rFonts w:eastAsia="黑体"/>
                <w:kern w:val="0"/>
                <w:sz w:val="24"/>
                <w:szCs w:val="24"/>
              </w:rPr>
              <w:t>二级指标</w:t>
            </w:r>
          </w:p>
        </w:tc>
        <w:tc>
          <w:tcPr>
            <w:tcW w:w="6030" w:type="dxa"/>
            <w:noWrap w:val="0"/>
            <w:vAlign w:val="center"/>
          </w:tcPr>
          <w:p>
            <w:pPr>
              <w:widowControl/>
              <w:jc w:val="center"/>
              <w:rPr>
                <w:rFonts w:eastAsia="黑体"/>
                <w:kern w:val="0"/>
                <w:sz w:val="24"/>
                <w:szCs w:val="24"/>
              </w:rPr>
            </w:pPr>
            <w:r>
              <w:rPr>
                <w:rFonts w:eastAsia="黑体"/>
                <w:kern w:val="0"/>
                <w:sz w:val="24"/>
                <w:szCs w:val="24"/>
              </w:rPr>
              <w:t>观测点及要求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80" w:type="dxa"/>
            <w:vMerge w:val="restart"/>
            <w:noWrap w:val="0"/>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课程设计</w:t>
            </w:r>
          </w:p>
        </w:tc>
        <w:tc>
          <w:tcPr>
            <w:tcW w:w="1210" w:type="dxa"/>
            <w:noWrap w:val="0"/>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课程定位与目标</w:t>
            </w:r>
          </w:p>
        </w:tc>
        <w:tc>
          <w:tcPr>
            <w:tcW w:w="6030" w:type="dxa"/>
            <w:noWrap w:val="0"/>
            <w:vAlign w:val="center"/>
          </w:tcPr>
          <w:p>
            <w:pPr>
              <w:pStyle w:val="10"/>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1.落实立德树人根本任务，符合相应专业教学标准、人才培养方案、课程标准要求，课程性质明确，与前、后接续课程衔接得当。</w:t>
            </w:r>
          </w:p>
          <w:p>
            <w:pPr>
              <w:pStyle w:val="10"/>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2.课程目标定位准确、条目清晰、内容具体、可评可测。</w:t>
            </w:r>
          </w:p>
          <w:p>
            <w:pPr>
              <w:pStyle w:val="10"/>
              <w:widowControl/>
              <w:ind w:firstLine="0" w:firstLineChars="0"/>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3.公共基础课程注重打好科学文化基础、培养学生思想政治素质、学科核心素养；专业（技能）课程注重提升专业能力、掌握专业技能，培养学生职业道德、综合素养</w:t>
            </w:r>
            <w:r>
              <w:rPr>
                <w:rFonts w:hint="eastAsia" w:ascii="仿宋_GB2312" w:hAnsi="仿宋_GB2312" w:eastAsia="仿宋_GB2312" w:cs="仿宋_GB2312"/>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80" w:type="dxa"/>
            <w:vMerge w:val="continue"/>
            <w:noWrap w:val="0"/>
            <w:vAlign w:val="center"/>
          </w:tcPr>
          <w:p>
            <w:pPr>
              <w:widowControl/>
              <w:jc w:val="center"/>
              <w:rPr>
                <w:rFonts w:hint="eastAsia" w:ascii="仿宋_GB2312" w:hAnsi="仿宋_GB2312" w:eastAsia="仿宋_GB2312" w:cs="仿宋_GB2312"/>
                <w:kern w:val="0"/>
                <w:sz w:val="24"/>
                <w:szCs w:val="24"/>
              </w:rPr>
            </w:pPr>
          </w:p>
        </w:tc>
        <w:tc>
          <w:tcPr>
            <w:tcW w:w="1210" w:type="dxa"/>
            <w:noWrap w:val="0"/>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课程结构与内容</w:t>
            </w:r>
          </w:p>
        </w:tc>
        <w:tc>
          <w:tcPr>
            <w:tcW w:w="6030" w:type="dxa"/>
            <w:noWrap w:val="0"/>
            <w:vAlign w:val="center"/>
          </w:tcPr>
          <w:p>
            <w:pPr>
              <w:pStyle w:val="10"/>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课程内容组织与安排凸显职业教育类型特征，公共基础课程内容及时反映新知识，专业（技能）课程对接新产业、新业态、新模式、新职业，反映相关领域新技术、新工艺、新规范，体现行业企业参与特征，紧贴本专业相关技术领域职业岗位（群）的能力要求。</w:t>
            </w:r>
          </w:p>
          <w:p>
            <w:pPr>
              <w:pStyle w:val="10"/>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2.落实课程思政要求，结合不同课程特点、思维方法和价值理念，挖掘课程思政元素，有机融入课程。</w:t>
            </w:r>
          </w:p>
          <w:p>
            <w:pPr>
              <w:pStyle w:val="10"/>
              <w:widowControl/>
              <w:ind w:firstLine="0" w:firstLineChars="0"/>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3.课程内容完整、结构合理、逻辑清晰；学习单元划分合理、衔接有序、教学学时分配合理；有符合学生学习特点的完整的在线学习指导。申报课程不低于32学时</w:t>
            </w:r>
            <w:r>
              <w:rPr>
                <w:rFonts w:hint="eastAsia" w:ascii="仿宋_GB2312" w:hAnsi="仿宋_GB2312" w:eastAsia="仿宋_GB2312" w:cs="仿宋_GB2312"/>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80" w:type="dxa"/>
            <w:vMerge w:val="restart"/>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课程建设</w:t>
            </w:r>
          </w:p>
        </w:tc>
        <w:tc>
          <w:tcPr>
            <w:tcW w:w="1210" w:type="dxa"/>
            <w:noWrap w:val="0"/>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基本信息与规范</w:t>
            </w:r>
          </w:p>
        </w:tc>
        <w:tc>
          <w:tcPr>
            <w:tcW w:w="6030" w:type="dxa"/>
            <w:noWrap w:val="0"/>
            <w:vAlign w:val="center"/>
          </w:tcPr>
          <w:p>
            <w:pPr>
              <w:pStyle w:val="10"/>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1.课程基本信息完整，课程页面应包括配套教材、课程介绍、教学团队、相关教材、相关职业类证书等信息。</w:t>
            </w:r>
          </w:p>
          <w:p>
            <w:pPr>
              <w:pStyle w:val="10"/>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2.课程页面布局合理、信息量适度、色彩搭配协调。</w:t>
            </w:r>
          </w:p>
          <w:p>
            <w:pPr>
              <w:pStyle w:val="10"/>
              <w:widowControl/>
              <w:ind w:firstLine="0" w:firstLineChars="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3.导航清晰明确，符号规范</w:t>
            </w:r>
            <w:r>
              <w:rPr>
                <w:rFonts w:hint="eastAsia" w:ascii="仿宋_GB2312" w:hAnsi="仿宋_GB2312" w:eastAsia="仿宋_GB2312" w:cs="仿宋_GB2312"/>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80" w:type="dxa"/>
            <w:vMerge w:val="continue"/>
            <w:noWrap w:val="0"/>
            <w:vAlign w:val="center"/>
          </w:tcPr>
          <w:p>
            <w:pPr>
              <w:widowControl/>
              <w:jc w:val="center"/>
              <w:rPr>
                <w:rFonts w:hint="eastAsia" w:ascii="仿宋_GB2312" w:hAnsi="仿宋_GB2312" w:eastAsia="仿宋_GB2312" w:cs="仿宋_GB2312"/>
                <w:kern w:val="0"/>
                <w:sz w:val="24"/>
                <w:szCs w:val="24"/>
              </w:rPr>
            </w:pPr>
          </w:p>
        </w:tc>
        <w:tc>
          <w:tcPr>
            <w:tcW w:w="1210" w:type="dxa"/>
            <w:noWrap w:val="0"/>
            <w:vAlign w:val="center"/>
          </w:tcPr>
          <w:p>
            <w:pPr>
              <w:widowControl/>
              <w:jc w:val="center"/>
              <w:rPr>
                <w:rFonts w:hint="eastAsia" w:ascii="仿宋_GB2312" w:hAnsi="仿宋_GB2312" w:eastAsia="仿宋_GB2312" w:cs="仿宋_GB2312"/>
                <w:kern w:val="0"/>
                <w:sz w:val="24"/>
                <w:szCs w:val="24"/>
                <w:highlight w:val="yellow"/>
              </w:rPr>
            </w:pPr>
            <w:r>
              <w:rPr>
                <w:rFonts w:hint="eastAsia" w:ascii="仿宋_GB2312" w:hAnsi="仿宋_GB2312" w:eastAsia="仿宋_GB2312" w:cs="仿宋_GB2312"/>
                <w:kern w:val="0"/>
                <w:sz w:val="24"/>
                <w:szCs w:val="24"/>
              </w:rPr>
              <w:t>资源建设与应用</w:t>
            </w:r>
          </w:p>
        </w:tc>
        <w:tc>
          <w:tcPr>
            <w:tcW w:w="6030" w:type="dxa"/>
            <w:noWrap w:val="0"/>
            <w:vAlign w:val="center"/>
          </w:tcPr>
          <w:p>
            <w:pPr>
              <w:pStyle w:val="10"/>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课程资源以自主设计与开发为主，与课程内容相匹配、全覆盖，内在逻辑合理、内容完整精炼，能够满足学校教学和学习者学习需求，做到能学辅教；体现课程思政建设要求，体现行业发展的前沿技术和最新成果。</w:t>
            </w:r>
          </w:p>
          <w:p>
            <w:pPr>
              <w:pStyle w:val="10"/>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课程资源类型丰富、内容多样，针对各模块知识点或技能点设置对应的授课视频、动画、虚拟仿真、演示文稿、测验和作业等多样的教学资源。出镜教师教学过程中教仪教态自然大方，语言表达清晰、深入浅出。</w:t>
            </w:r>
          </w:p>
          <w:p>
            <w:pPr>
              <w:pStyle w:val="10"/>
              <w:widowControl/>
              <w:ind w:firstLine="0" w:firstLineChars="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3.科学规划在线学习资源，动画、视频、虚拟仿真等类型资源一般不少于</w:t>
            </w:r>
            <w:r>
              <w:rPr>
                <w:rFonts w:hint="eastAsia" w:ascii="仿宋_GB2312" w:hAnsi="仿宋_GB2312" w:eastAsia="仿宋_GB2312" w:cs="仿宋_GB2312"/>
                <w:kern w:val="0"/>
                <w:sz w:val="24"/>
                <w:szCs w:val="24"/>
                <w:lang w:val="en-US" w:eastAsia="zh-CN"/>
              </w:rPr>
              <w:t>25</w:t>
            </w:r>
            <w:r>
              <w:rPr>
                <w:rFonts w:hint="eastAsia" w:ascii="仿宋_GB2312" w:hAnsi="仿宋_GB2312" w:eastAsia="仿宋_GB2312" w:cs="仿宋_GB2312"/>
                <w:kern w:val="0"/>
                <w:sz w:val="24"/>
                <w:szCs w:val="24"/>
              </w:rPr>
              <w:t>%。课程资源每年必须进行更新，年更新资源量不低于总量的10%</w:t>
            </w:r>
            <w:r>
              <w:rPr>
                <w:rFonts w:hint="eastAsia" w:ascii="仿宋_GB2312" w:hAnsi="仿宋_GB2312" w:eastAsia="仿宋_GB2312" w:cs="仿宋_GB2312"/>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80" w:type="dxa"/>
            <w:vMerge w:val="continue"/>
            <w:noWrap w:val="0"/>
            <w:vAlign w:val="center"/>
          </w:tcPr>
          <w:p>
            <w:pPr>
              <w:widowControl/>
              <w:jc w:val="center"/>
              <w:rPr>
                <w:rFonts w:hint="eastAsia" w:ascii="仿宋_GB2312" w:hAnsi="仿宋_GB2312" w:eastAsia="仿宋_GB2312" w:cs="仿宋_GB2312"/>
                <w:kern w:val="0"/>
                <w:sz w:val="24"/>
                <w:szCs w:val="24"/>
              </w:rPr>
            </w:pPr>
          </w:p>
        </w:tc>
        <w:tc>
          <w:tcPr>
            <w:tcW w:w="1210" w:type="dxa"/>
            <w:noWrap w:val="0"/>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成员构成与要求</w:t>
            </w:r>
          </w:p>
        </w:tc>
        <w:tc>
          <w:tcPr>
            <w:tcW w:w="6030" w:type="dxa"/>
            <w:noWrap w:val="0"/>
            <w:vAlign w:val="center"/>
          </w:tcPr>
          <w:p>
            <w:pPr>
              <w:pStyle w:val="10"/>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1.课程负责人原则上应具有</w:t>
            </w:r>
            <w:r>
              <w:rPr>
                <w:rFonts w:hint="eastAsia" w:ascii="仿宋_GB2312" w:hAnsi="仿宋_GB2312" w:eastAsia="仿宋_GB2312" w:cs="仿宋_GB2312"/>
                <w:kern w:val="0"/>
                <w:sz w:val="24"/>
                <w:szCs w:val="24"/>
                <w:lang w:val="en-US" w:eastAsia="zh-CN"/>
              </w:rPr>
              <w:t>中</w:t>
            </w:r>
            <w:r>
              <w:rPr>
                <w:rFonts w:hint="eastAsia" w:ascii="仿宋_GB2312" w:hAnsi="仿宋_GB2312" w:eastAsia="仿宋_GB2312" w:cs="仿宋_GB2312"/>
                <w:kern w:val="0"/>
                <w:sz w:val="24"/>
                <w:szCs w:val="24"/>
              </w:rPr>
              <w:t>级及以上职称，具有丰富的教学经验和扎实专业功底，在本专业领域具有一定影响力。</w:t>
            </w:r>
          </w:p>
          <w:p>
            <w:pPr>
              <w:pStyle w:val="10"/>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2.团队结构合理，助学、督学、导学、促学等教学支持服务人员到位，师德师风优良，教学表现力和亲和力强，教学成果积累丰富，教学改革意识强。信息素养高，信息技术应用能力水平较高。</w:t>
            </w:r>
          </w:p>
          <w:p>
            <w:pPr>
              <w:pStyle w:val="10"/>
              <w:widowControl/>
              <w:ind w:firstLine="0" w:firstLineChars="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3.专业（技能）课“双师”型教师及企业兼职教师各具特色，团队主要成员须与课程平台显示人员一致，配备必要的助理教师</w:t>
            </w:r>
            <w:r>
              <w:rPr>
                <w:rFonts w:hint="eastAsia" w:ascii="仿宋_GB2312" w:hAnsi="仿宋_GB2312" w:eastAsia="仿宋_GB2312" w:cs="仿宋_GB2312"/>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80" w:type="dxa"/>
            <w:vMerge w:val="continue"/>
            <w:noWrap w:val="0"/>
            <w:vAlign w:val="center"/>
          </w:tcPr>
          <w:p>
            <w:pPr>
              <w:widowControl/>
              <w:jc w:val="center"/>
              <w:rPr>
                <w:rFonts w:hint="eastAsia" w:ascii="仿宋_GB2312" w:hAnsi="仿宋_GB2312" w:eastAsia="仿宋_GB2312" w:cs="仿宋_GB2312"/>
                <w:kern w:val="0"/>
                <w:sz w:val="24"/>
                <w:szCs w:val="24"/>
              </w:rPr>
            </w:pPr>
          </w:p>
        </w:tc>
        <w:tc>
          <w:tcPr>
            <w:tcW w:w="1210" w:type="dxa"/>
            <w:noWrap w:val="0"/>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课程管理与保障</w:t>
            </w:r>
          </w:p>
        </w:tc>
        <w:tc>
          <w:tcPr>
            <w:tcW w:w="6030" w:type="dxa"/>
            <w:noWrap w:val="0"/>
            <w:vAlign w:val="center"/>
          </w:tcPr>
          <w:p>
            <w:pPr>
              <w:pStyle w:val="10"/>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1.依托的在线教学平台已接入国家高等教育、职业教育智慧教育平台，有较好的支持面向校内外师生开展线上学分课程教学及管理功能。</w:t>
            </w:r>
          </w:p>
          <w:p>
            <w:pPr>
              <w:pStyle w:val="10"/>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学校在线课程管理制度和机构健全，已出台在线课程教学管理办法，对课程选用、教学、评价、督导和学分认定等进行规范，做到线上与线下课程教学同管理、同要求，有支持在线课程建设和实施的激励制度，提供人员、经费等保障。</w:t>
            </w:r>
          </w:p>
          <w:p>
            <w:pPr>
              <w:pStyle w:val="10"/>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3.重视版权和知识产权等问题，与院校、企业、团队合作签署的知识产权保障协议（或书面约定）规范严谨、平等互利。</w:t>
            </w:r>
          </w:p>
          <w:p>
            <w:pPr>
              <w:pStyle w:val="10"/>
              <w:widowControl/>
              <w:ind w:firstLine="0" w:firstLineChars="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4.教材选用合理，符合有关规定。引用资源规范，符合教学需求</w:t>
            </w:r>
            <w:r>
              <w:rPr>
                <w:rFonts w:hint="eastAsia" w:ascii="仿宋_GB2312" w:hAnsi="仿宋_GB2312" w:eastAsia="仿宋_GB2312" w:cs="仿宋_GB2312"/>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80" w:type="dxa"/>
            <w:vMerge w:val="restart"/>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课程实施</w:t>
            </w:r>
          </w:p>
        </w:tc>
        <w:tc>
          <w:tcPr>
            <w:tcW w:w="1210" w:type="dxa"/>
            <w:noWrap w:val="0"/>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教学组织与安排</w:t>
            </w:r>
          </w:p>
        </w:tc>
        <w:tc>
          <w:tcPr>
            <w:tcW w:w="6030" w:type="dxa"/>
            <w:noWrap w:val="0"/>
            <w:vAlign w:val="top"/>
          </w:tcPr>
          <w:p>
            <w:pPr>
              <w:pStyle w:val="10"/>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1.围绕学习任务，细化具体教学目标，合理把握教学进度、组织具体教学。</w:t>
            </w:r>
          </w:p>
          <w:p>
            <w:pPr>
              <w:pStyle w:val="10"/>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2.科学设计教学模式，恰当进行课程导入，课程重点难点讲授准确全面，合理使用案例式、混合式、探究式、翻转课堂等多种教学模式。</w:t>
            </w:r>
          </w:p>
          <w:p>
            <w:pPr>
              <w:pStyle w:val="10"/>
              <w:widowControl/>
              <w:ind w:firstLine="0" w:firstLineChars="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3.线上线下教学中注重教学互动、激发学生学习积极性</w:t>
            </w:r>
            <w:r>
              <w:rPr>
                <w:rFonts w:hint="eastAsia" w:ascii="仿宋_GB2312" w:hAnsi="仿宋_GB2312" w:eastAsia="仿宋_GB2312" w:cs="仿宋_GB2312"/>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80" w:type="dxa"/>
            <w:vMerge w:val="continue"/>
            <w:noWrap w:val="0"/>
            <w:vAlign w:val="center"/>
          </w:tcPr>
          <w:p>
            <w:pPr>
              <w:jc w:val="center"/>
              <w:rPr>
                <w:rFonts w:hint="eastAsia" w:ascii="仿宋_GB2312" w:hAnsi="仿宋_GB2312" w:eastAsia="仿宋_GB2312" w:cs="仿宋_GB2312"/>
                <w:kern w:val="0"/>
                <w:sz w:val="24"/>
                <w:szCs w:val="24"/>
              </w:rPr>
            </w:pPr>
          </w:p>
        </w:tc>
        <w:tc>
          <w:tcPr>
            <w:tcW w:w="1210" w:type="dxa"/>
            <w:noWrap w:val="0"/>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教学活动与过程</w:t>
            </w:r>
          </w:p>
        </w:tc>
        <w:tc>
          <w:tcPr>
            <w:tcW w:w="6030" w:type="dxa"/>
            <w:noWrap w:val="0"/>
            <w:vAlign w:val="top"/>
          </w:tcPr>
          <w:p>
            <w:pPr>
              <w:pStyle w:val="10"/>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1.各项教学活动完整、有效，教学过程可回溯，关注教与学全过程的信息采集，教学过程材料完整。</w:t>
            </w:r>
          </w:p>
          <w:p>
            <w:pPr>
              <w:pStyle w:val="10"/>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2.合理使用信息技术手段创新教学模式，适合在线学习、线上线下混合式教学，能够激发学生学习兴趣和潜能。</w:t>
            </w:r>
          </w:p>
          <w:p>
            <w:pPr>
              <w:pStyle w:val="10"/>
              <w:widowControl/>
              <w:ind w:firstLine="0" w:firstLineChars="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3.提供在线测试、即时在线反馈、作业提交和批改、网上社区讨论等学习支持服务，促进师生之间、学生之间进行资源共享、问题交流和协作学习，实现师生、生生的深度有效互动</w:t>
            </w:r>
            <w:r>
              <w:rPr>
                <w:rFonts w:hint="eastAsia" w:ascii="仿宋_GB2312" w:hAnsi="仿宋_GB2312" w:eastAsia="仿宋_GB2312" w:cs="仿宋_GB2312"/>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80" w:type="dxa"/>
            <w:vMerge w:val="continue"/>
            <w:noWrap w:val="0"/>
            <w:vAlign w:val="center"/>
          </w:tcPr>
          <w:p>
            <w:pPr>
              <w:jc w:val="center"/>
              <w:rPr>
                <w:rFonts w:hint="eastAsia" w:ascii="仿宋_GB2312" w:hAnsi="仿宋_GB2312" w:eastAsia="仿宋_GB2312" w:cs="仿宋_GB2312"/>
                <w:kern w:val="0"/>
                <w:sz w:val="24"/>
                <w:szCs w:val="24"/>
              </w:rPr>
            </w:pPr>
          </w:p>
        </w:tc>
        <w:tc>
          <w:tcPr>
            <w:tcW w:w="1210" w:type="dxa"/>
            <w:noWrap w:val="0"/>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学习考核与评价</w:t>
            </w:r>
          </w:p>
        </w:tc>
        <w:tc>
          <w:tcPr>
            <w:tcW w:w="6030" w:type="dxa"/>
            <w:noWrap w:val="0"/>
            <w:vAlign w:val="top"/>
          </w:tcPr>
          <w:p>
            <w:pPr>
              <w:pStyle w:val="10"/>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1.建立多元化学习评价体系，不断改进结果评价，强化过程评价，探索增值评价，健全综合评价。</w:t>
            </w:r>
          </w:p>
          <w:p>
            <w:pPr>
              <w:pStyle w:val="10"/>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2.学分课程的选课学生基本上都能按照教学计划完成各项在线学习和线下学习活动，在线学习数据真实有效，可回朔；课程在线测试、考试成绩科学合理。</w:t>
            </w:r>
          </w:p>
          <w:p>
            <w:pPr>
              <w:pStyle w:val="10"/>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3.探索基于大数据的信息采集分析，全程记录和跟踪教师的教学和学生学习过程，形成教与学的正向反馈。</w:t>
            </w:r>
          </w:p>
          <w:p>
            <w:pPr>
              <w:pStyle w:val="10"/>
              <w:widowControl/>
              <w:ind w:firstLine="0" w:firstLineChars="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4.平台至少完成两个教学周期的在线教学实践或两个学期的线上线下混合教学实践。课程建设过程中，不断完善课程考核评价机制，有效反思课程建设的经验与不足，教学诊断改进积极有效</w:t>
            </w:r>
            <w:r>
              <w:rPr>
                <w:rFonts w:hint="eastAsia" w:ascii="仿宋_GB2312" w:hAnsi="仿宋_GB2312" w:eastAsia="仿宋_GB2312" w:cs="仿宋_GB2312"/>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80" w:type="dxa"/>
            <w:vMerge w:val="restart"/>
            <w:noWrap w:val="0"/>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应用效果</w:t>
            </w:r>
          </w:p>
        </w:tc>
        <w:tc>
          <w:tcPr>
            <w:tcW w:w="1210" w:type="dxa"/>
            <w:noWrap w:val="0"/>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教学效果与反馈</w:t>
            </w:r>
          </w:p>
        </w:tc>
        <w:tc>
          <w:tcPr>
            <w:tcW w:w="6030" w:type="dxa"/>
            <w:noWrap w:val="0"/>
            <w:vAlign w:val="center"/>
          </w:tcPr>
          <w:p>
            <w:pPr>
              <w:pStyle w:val="10"/>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1.学生适应在线学习方式，可以有效开展个性化学习与合作学习，对课程的参与度、学习获得感高，学习效果好。</w:t>
            </w:r>
          </w:p>
          <w:p>
            <w:pPr>
              <w:pStyle w:val="10"/>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2.教师具有较强的信息化教学能力，助学、督学、导学、促学等教学支持服务到位、有特色，教学团队配合默契，带动其他教育教学改革取得实质性成果。</w:t>
            </w:r>
          </w:p>
          <w:p>
            <w:pPr>
              <w:pStyle w:val="10"/>
              <w:widowControl/>
              <w:ind w:firstLine="0" w:firstLineChars="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3.学生对教师教学以及课程的满意度较高</w:t>
            </w:r>
            <w:r>
              <w:rPr>
                <w:rFonts w:hint="eastAsia" w:ascii="仿宋_GB2312" w:hAnsi="仿宋_GB2312" w:eastAsia="仿宋_GB2312" w:cs="仿宋_GB2312"/>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80" w:type="dxa"/>
            <w:vMerge w:val="continue"/>
            <w:noWrap w:val="0"/>
            <w:vAlign w:val="center"/>
          </w:tcPr>
          <w:p>
            <w:pPr>
              <w:widowControl/>
              <w:jc w:val="center"/>
              <w:rPr>
                <w:rFonts w:hint="eastAsia" w:ascii="仿宋_GB2312" w:hAnsi="仿宋_GB2312" w:eastAsia="仿宋_GB2312" w:cs="仿宋_GB2312"/>
                <w:kern w:val="0"/>
                <w:sz w:val="24"/>
                <w:szCs w:val="24"/>
              </w:rPr>
            </w:pPr>
          </w:p>
        </w:tc>
        <w:tc>
          <w:tcPr>
            <w:tcW w:w="1210" w:type="dxa"/>
            <w:noWrap w:val="0"/>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技术支持与服务</w:t>
            </w:r>
          </w:p>
        </w:tc>
        <w:tc>
          <w:tcPr>
            <w:tcW w:w="6030" w:type="dxa"/>
            <w:noWrap w:val="0"/>
            <w:vAlign w:val="center"/>
          </w:tcPr>
          <w:p>
            <w:pPr>
              <w:pStyle w:val="10"/>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1.各类教学资源应用充分，活跃用户数占课程注册使用人数的比例较高。</w:t>
            </w:r>
          </w:p>
          <w:p>
            <w:pPr>
              <w:pStyle w:val="10"/>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2.在线课程教学管理责任有效落实，有较好的技术支持的督学、促学手段，有效防范在线刷课、替课、刷考、替考行为。</w:t>
            </w:r>
          </w:p>
          <w:p>
            <w:pPr>
              <w:pStyle w:val="10"/>
              <w:widowControl/>
              <w:ind w:firstLine="0" w:firstLineChars="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3.课程平台支持校内外用户开放注册、选课、学习，能够保障信息安全，同时满足提供开放用户身份数据，开放课程访问数据、学习行为数据以及相关运行数据等监管要求</w:t>
            </w:r>
            <w:r>
              <w:rPr>
                <w:rFonts w:hint="eastAsia" w:ascii="仿宋_GB2312" w:hAnsi="仿宋_GB2312" w:eastAsia="仿宋_GB2312" w:cs="仿宋_GB2312"/>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280" w:type="dxa"/>
            <w:vMerge w:val="continue"/>
            <w:noWrap w:val="0"/>
            <w:vAlign w:val="center"/>
          </w:tcPr>
          <w:p>
            <w:pPr>
              <w:widowControl/>
              <w:jc w:val="center"/>
              <w:rPr>
                <w:rFonts w:hint="eastAsia" w:ascii="仿宋_GB2312" w:hAnsi="仿宋_GB2312" w:eastAsia="仿宋_GB2312" w:cs="仿宋_GB2312"/>
                <w:kern w:val="0"/>
                <w:sz w:val="24"/>
                <w:szCs w:val="24"/>
              </w:rPr>
            </w:pPr>
          </w:p>
        </w:tc>
        <w:tc>
          <w:tcPr>
            <w:tcW w:w="1210" w:type="dxa"/>
            <w:noWrap w:val="0"/>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课程示范与引领</w:t>
            </w:r>
          </w:p>
        </w:tc>
        <w:tc>
          <w:tcPr>
            <w:tcW w:w="6030" w:type="dxa"/>
            <w:noWrap w:val="0"/>
            <w:vAlign w:val="top"/>
          </w:tcPr>
          <w:p>
            <w:pPr>
              <w:pStyle w:val="10"/>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1.在教学和课程改革方面与同类课程相比显示了明显优势，已形成具有一定校内外影响力的教改模式，教改成果具有推广价值。</w:t>
            </w:r>
          </w:p>
          <w:p>
            <w:pPr>
              <w:pStyle w:val="10"/>
              <w:widowControl/>
              <w:ind w:firstLine="0" w:firstLineChars="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2.面向其他院校学生、企业员工和社会学习者开放学习，可供其他院校教师教学引用，用户使用活跃度高，应用效果良好、社会影响力大，认可度高</w:t>
            </w:r>
            <w:r>
              <w:rPr>
                <w:rFonts w:hint="eastAsia" w:ascii="仿宋_GB2312" w:hAnsi="仿宋_GB2312" w:eastAsia="仿宋_GB2312" w:cs="仿宋_GB2312"/>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0" w:type="dxa"/>
            <w:noWrap w:val="0"/>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特色创新</w:t>
            </w:r>
          </w:p>
        </w:tc>
        <w:tc>
          <w:tcPr>
            <w:tcW w:w="7240" w:type="dxa"/>
            <w:gridSpan w:val="2"/>
            <w:noWrap w:val="0"/>
            <w:vAlign w:val="center"/>
          </w:tcPr>
          <w:p>
            <w:pPr>
              <w:widowControl/>
              <w:jc w:val="lef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充分彰显职业教育类型特征，体现专业升级和数字化改造要求，能够较好解决职业教育传统教学中的短板问</w:t>
            </w:r>
            <w:r>
              <w:rPr>
                <w:rFonts w:hint="eastAsia" w:ascii="仿宋_GB2312" w:hAnsi="仿宋_GB2312" w:eastAsia="仿宋_GB2312" w:cs="仿宋_GB2312"/>
                <w:color w:val="auto"/>
                <w:kern w:val="0"/>
                <w:sz w:val="24"/>
                <w:szCs w:val="24"/>
              </w:rPr>
              <w:t>题；</w:t>
            </w:r>
            <w:r>
              <w:rPr>
                <w:rFonts w:hint="eastAsia" w:ascii="仿宋_GB2312" w:hAnsi="仿宋_GB2312" w:eastAsia="仿宋_GB2312" w:cs="仿宋_GB2312"/>
                <w:kern w:val="0"/>
                <w:sz w:val="24"/>
                <w:szCs w:val="24"/>
              </w:rPr>
              <w:t>课程与教学改革理念具有原创性、教学实践效果显著，</w:t>
            </w:r>
            <w:r>
              <w:rPr>
                <w:rFonts w:hint="eastAsia" w:ascii="仿宋_GB2312" w:hAnsi="仿宋_GB2312" w:eastAsia="仿宋_GB2312" w:cs="仿宋_GB2312"/>
                <w:color w:val="auto"/>
                <w:kern w:val="0"/>
                <w:sz w:val="24"/>
                <w:szCs w:val="24"/>
              </w:rPr>
              <w:t>具有较好的教改模式示范效应和推广价值。</w:t>
            </w:r>
            <w:r>
              <w:rPr>
                <w:rFonts w:hint="eastAsia" w:ascii="仿宋_GB2312" w:hAnsi="仿宋_GB2312" w:eastAsia="仿宋_GB2312" w:cs="仿宋_GB2312"/>
                <w:kern w:val="0"/>
                <w:sz w:val="24"/>
                <w:szCs w:val="24"/>
              </w:rPr>
              <w:t>能够提供双语教学资源、进行双语教学等</w:t>
            </w:r>
            <w:r>
              <w:rPr>
                <w:rFonts w:hint="eastAsia" w:ascii="仿宋_GB2312" w:hAnsi="仿宋_GB2312" w:eastAsia="仿宋_GB2312" w:cs="仿宋_GB2312"/>
                <w:kern w:val="0"/>
                <w:sz w:val="24"/>
                <w:szCs w:val="24"/>
                <w:lang w:eastAsia="zh-CN"/>
              </w:rPr>
              <w:t>。</w:t>
            </w:r>
          </w:p>
        </w:tc>
      </w:tr>
    </w:tbl>
    <w:p>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C03E6E"/>
    <w:rsid w:val="00117EA6"/>
    <w:rsid w:val="25A90276"/>
    <w:rsid w:val="320C2DBD"/>
    <w:rsid w:val="332B0FF5"/>
    <w:rsid w:val="385508BC"/>
    <w:rsid w:val="3C2F4865"/>
    <w:rsid w:val="45F61CD5"/>
    <w:rsid w:val="50125E3D"/>
    <w:rsid w:val="555A337D"/>
    <w:rsid w:val="5C35053A"/>
    <w:rsid w:val="5CFD5D4D"/>
    <w:rsid w:val="606817EA"/>
    <w:rsid w:val="65C7247C"/>
    <w:rsid w:val="68764809"/>
    <w:rsid w:val="6DC03E6E"/>
    <w:rsid w:val="6E496B96"/>
    <w:rsid w:val="71042436"/>
    <w:rsid w:val="73016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alloon Text"/>
    <w:basedOn w:val="1"/>
    <w:next w:val="3"/>
    <w:autoRedefine/>
    <w:unhideWhenUsed/>
    <w:qFormat/>
    <w:uiPriority w:val="99"/>
    <w:rPr>
      <w:sz w:val="18"/>
      <w:szCs w:val="18"/>
    </w:rPr>
  </w:style>
  <w:style w:type="paragraph" w:styleId="3">
    <w:name w:val="index 5"/>
    <w:basedOn w:val="1"/>
    <w:next w:val="1"/>
    <w:autoRedefine/>
    <w:qFormat/>
    <w:uiPriority w:val="99"/>
    <w:pPr>
      <w:ind w:left="1680"/>
    </w:pPr>
  </w:style>
  <w:style w:type="paragraph" w:styleId="4">
    <w:name w:val="Body Text"/>
    <w:basedOn w:val="1"/>
    <w:autoRedefine/>
    <w:qFormat/>
    <w:uiPriority w:val="1"/>
    <w:pPr>
      <w:autoSpaceDE w:val="0"/>
      <w:autoSpaceDN w:val="0"/>
      <w:ind w:left="108"/>
      <w:jc w:val="left"/>
    </w:pPr>
    <w:rPr>
      <w:rFonts w:ascii="宋体" w:hAnsi="宋体" w:eastAsia="宋体" w:cs="宋体"/>
      <w:color w:val="auto"/>
      <w:kern w:val="0"/>
      <w:lang w:eastAsia="en-US"/>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列出段落1"/>
    <w:basedOn w:val="1"/>
    <w:autoRedefine/>
    <w:qFormat/>
    <w:uiPriority w:val="34"/>
    <w:pPr>
      <w:ind w:firstLine="420" w:firstLineChars="200"/>
    </w:pPr>
  </w:style>
  <w:style w:type="paragraph" w:customStyle="1" w:styleId="11">
    <w:name w:val="列表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2023-04-28T02:47:00Z</dcterms:created>
  <dc:creator>Administrator</dc:creator>
  <cp:lastModifiedBy>笑看花开</cp:lastModifiedBy>
  <dcterms:modified xsi:type="dcterms:W3CDTF">2024-01-08T07:40:25Z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49F90DAA43034283B82A2A17140535E2_13</vt:lpwstr>
  </property>
</Properties>
</file>